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14B2A5" w14:textId="0482199C" w:rsidR="008940DD" w:rsidRDefault="008940DD"/>
    <w:p w14:paraId="0E1D2674" w14:textId="0F58ED23" w:rsidR="008940DD" w:rsidRDefault="008940DD"/>
    <w:p w14:paraId="618E05A5" w14:textId="207B720C" w:rsidR="008940DD" w:rsidRDefault="008940DD"/>
    <w:p w14:paraId="3AD2E770" w14:textId="52634CBB" w:rsidR="008940DD" w:rsidRPr="00C51AAE" w:rsidRDefault="008940DD">
      <w:pPr>
        <w:rPr>
          <w:rFonts w:ascii="Arial" w:hAnsi="Arial" w:cs="Arial"/>
          <w:sz w:val="28"/>
          <w:szCs w:val="28"/>
        </w:rPr>
      </w:pPr>
      <w:r>
        <w:tab/>
      </w:r>
      <w:r>
        <w:tab/>
      </w:r>
      <w:r>
        <w:tab/>
      </w:r>
      <w:r>
        <w:tab/>
      </w:r>
      <w:r w:rsidRPr="00C51AAE">
        <w:rPr>
          <w:rFonts w:ascii="Arial" w:hAnsi="Arial" w:cs="Arial"/>
          <w:sz w:val="28"/>
          <w:szCs w:val="28"/>
        </w:rPr>
        <w:t xml:space="preserve">Biology 2401 </w:t>
      </w:r>
    </w:p>
    <w:p w14:paraId="46838FEE" w14:textId="79933C63" w:rsidR="008940DD" w:rsidRPr="00C51AAE" w:rsidRDefault="008940DD">
      <w:pPr>
        <w:rPr>
          <w:rFonts w:ascii="Arial" w:hAnsi="Arial" w:cs="Arial"/>
          <w:sz w:val="28"/>
          <w:szCs w:val="28"/>
        </w:rPr>
      </w:pPr>
      <w:r w:rsidRPr="00C51AAE">
        <w:rPr>
          <w:rFonts w:ascii="Arial" w:hAnsi="Arial" w:cs="Arial"/>
          <w:sz w:val="28"/>
          <w:szCs w:val="28"/>
        </w:rPr>
        <w:tab/>
      </w:r>
      <w:r w:rsidRPr="00C51AAE">
        <w:rPr>
          <w:rFonts w:ascii="Arial" w:hAnsi="Arial" w:cs="Arial"/>
          <w:sz w:val="28"/>
          <w:szCs w:val="28"/>
        </w:rPr>
        <w:tab/>
      </w:r>
      <w:r w:rsidRPr="00C51AAE">
        <w:rPr>
          <w:rFonts w:ascii="Arial" w:hAnsi="Arial" w:cs="Arial"/>
          <w:sz w:val="28"/>
          <w:szCs w:val="28"/>
        </w:rPr>
        <w:tab/>
      </w:r>
      <w:r w:rsidRPr="00C51AAE">
        <w:rPr>
          <w:rFonts w:ascii="Arial" w:hAnsi="Arial" w:cs="Arial"/>
          <w:sz w:val="28"/>
          <w:szCs w:val="28"/>
        </w:rPr>
        <w:tab/>
        <w:t>Final Exam</w:t>
      </w:r>
    </w:p>
    <w:p w14:paraId="2080943C" w14:textId="7FC3756B" w:rsidR="008940DD" w:rsidRPr="00C51AAE" w:rsidRDefault="008940DD">
      <w:pPr>
        <w:rPr>
          <w:rFonts w:ascii="Arial" w:hAnsi="Arial" w:cs="Arial"/>
          <w:sz w:val="28"/>
          <w:szCs w:val="28"/>
        </w:rPr>
      </w:pPr>
    </w:p>
    <w:p w14:paraId="087C8FD9" w14:textId="2DA7229E" w:rsidR="008940DD" w:rsidRPr="00C51AAE" w:rsidRDefault="008940DD">
      <w:pPr>
        <w:rPr>
          <w:rFonts w:ascii="Arial" w:hAnsi="Arial" w:cs="Arial"/>
          <w:sz w:val="28"/>
          <w:szCs w:val="28"/>
        </w:rPr>
      </w:pPr>
    </w:p>
    <w:p w14:paraId="7FE7D65F" w14:textId="1C108BD0" w:rsidR="008940DD" w:rsidRPr="00C51AAE" w:rsidRDefault="008940DD" w:rsidP="008940DD">
      <w:pPr>
        <w:pStyle w:val="ListParagraph"/>
        <w:numPr>
          <w:ilvl w:val="0"/>
          <w:numId w:val="1"/>
        </w:numPr>
        <w:rPr>
          <w:rFonts w:ascii="Arial" w:hAnsi="Arial" w:cs="Arial"/>
          <w:sz w:val="28"/>
          <w:szCs w:val="28"/>
        </w:rPr>
      </w:pPr>
      <w:r w:rsidRPr="00C51AAE">
        <w:rPr>
          <w:rFonts w:ascii="Arial" w:hAnsi="Arial" w:cs="Arial"/>
          <w:sz w:val="28"/>
          <w:szCs w:val="28"/>
        </w:rPr>
        <w:t xml:space="preserve">Homeostasis is a vital property of all living things. Some organisms greatly differ in their homeostasis compared to humans. For example the water bear also known as Tardigrades can survive temperature ranges from -328 F (-200 C) to as high as 300 F ( 149 C). We humans are not that physically tough. Define what homeostasis and feedback systems are. Give three </w:t>
      </w:r>
      <w:r w:rsidR="00E255F1" w:rsidRPr="00C51AAE">
        <w:rPr>
          <w:rFonts w:ascii="Arial" w:hAnsi="Arial" w:cs="Arial"/>
          <w:sz w:val="28"/>
          <w:szCs w:val="28"/>
        </w:rPr>
        <w:t xml:space="preserve">detailed </w:t>
      </w:r>
      <w:r w:rsidRPr="00C51AAE">
        <w:rPr>
          <w:rFonts w:ascii="Arial" w:hAnsi="Arial" w:cs="Arial"/>
          <w:sz w:val="28"/>
          <w:szCs w:val="28"/>
        </w:rPr>
        <w:t xml:space="preserve">examples of negative feedback and one </w:t>
      </w:r>
      <w:r w:rsidR="00E255F1" w:rsidRPr="00C51AAE">
        <w:rPr>
          <w:rFonts w:ascii="Arial" w:hAnsi="Arial" w:cs="Arial"/>
          <w:sz w:val="28"/>
          <w:szCs w:val="28"/>
        </w:rPr>
        <w:t xml:space="preserve">detailed example </w:t>
      </w:r>
      <w:r w:rsidRPr="00C51AAE">
        <w:rPr>
          <w:rFonts w:ascii="Arial" w:hAnsi="Arial" w:cs="Arial"/>
          <w:sz w:val="28"/>
          <w:szCs w:val="28"/>
        </w:rPr>
        <w:t xml:space="preserve">of positive feedback. </w:t>
      </w:r>
    </w:p>
    <w:p w14:paraId="41D07AD0" w14:textId="77777777" w:rsidR="00E255F1" w:rsidRPr="00C51AAE" w:rsidRDefault="00E255F1" w:rsidP="00E255F1">
      <w:pPr>
        <w:pStyle w:val="ListParagraph"/>
        <w:rPr>
          <w:rFonts w:ascii="Arial" w:hAnsi="Arial" w:cs="Arial"/>
          <w:sz w:val="28"/>
          <w:szCs w:val="28"/>
        </w:rPr>
      </w:pPr>
    </w:p>
    <w:p w14:paraId="255B9730" w14:textId="760445A4" w:rsidR="008940DD" w:rsidRPr="00C51AAE" w:rsidRDefault="00055D44" w:rsidP="008940DD">
      <w:pPr>
        <w:pStyle w:val="ListParagraph"/>
        <w:numPr>
          <w:ilvl w:val="0"/>
          <w:numId w:val="1"/>
        </w:numPr>
        <w:rPr>
          <w:rFonts w:ascii="Arial" w:hAnsi="Arial" w:cs="Arial"/>
          <w:sz w:val="28"/>
          <w:szCs w:val="28"/>
        </w:rPr>
      </w:pPr>
      <w:r w:rsidRPr="00C51AAE">
        <w:rPr>
          <w:rFonts w:ascii="Arial" w:hAnsi="Arial" w:cs="Arial"/>
          <w:sz w:val="28"/>
          <w:szCs w:val="28"/>
        </w:rPr>
        <w:t>The Plasma membrane has several crucial properties: it separates life from non-life, it is what regulates what enters and exits the cell, it allows communication with other cells, and it is the first structure all medicines and food particles encounter. Explain in detail, using the Fluid Mosaic model , this remarkable structure. In addition explain in detail the various passive and active transport mechanisms used by the plasma membrane. Be detailed.</w:t>
      </w:r>
    </w:p>
    <w:p w14:paraId="556D2FBB" w14:textId="77777777" w:rsidR="00E255F1" w:rsidRPr="00C51AAE" w:rsidRDefault="00E255F1" w:rsidP="00E255F1">
      <w:pPr>
        <w:pStyle w:val="ListParagraph"/>
        <w:rPr>
          <w:rFonts w:ascii="Arial" w:hAnsi="Arial" w:cs="Arial"/>
          <w:sz w:val="28"/>
          <w:szCs w:val="28"/>
        </w:rPr>
      </w:pPr>
    </w:p>
    <w:p w14:paraId="1CF09ABE" w14:textId="77777777" w:rsidR="00E255F1" w:rsidRPr="00C51AAE" w:rsidRDefault="00E255F1" w:rsidP="00E255F1">
      <w:pPr>
        <w:pStyle w:val="ListParagraph"/>
        <w:rPr>
          <w:rFonts w:ascii="Arial" w:hAnsi="Arial" w:cs="Arial"/>
          <w:sz w:val="28"/>
          <w:szCs w:val="28"/>
        </w:rPr>
      </w:pPr>
    </w:p>
    <w:p w14:paraId="2FB7B93B" w14:textId="2B77B761" w:rsidR="00055D44" w:rsidRDefault="00DF0B22" w:rsidP="008940DD">
      <w:pPr>
        <w:pStyle w:val="ListParagraph"/>
        <w:numPr>
          <w:ilvl w:val="0"/>
          <w:numId w:val="1"/>
        </w:numPr>
        <w:rPr>
          <w:rFonts w:ascii="Arial" w:hAnsi="Arial" w:cs="Arial"/>
          <w:sz w:val="28"/>
          <w:szCs w:val="28"/>
        </w:rPr>
      </w:pPr>
      <w:r w:rsidRPr="00C51AAE">
        <w:rPr>
          <w:rFonts w:ascii="Arial" w:hAnsi="Arial" w:cs="Arial"/>
          <w:sz w:val="28"/>
          <w:szCs w:val="28"/>
        </w:rPr>
        <w:t xml:space="preserve">Using barbell curls as an example, explain the following.  The </w:t>
      </w:r>
      <w:r w:rsidR="00E255F1" w:rsidRPr="00C51AAE">
        <w:rPr>
          <w:rFonts w:ascii="Arial" w:hAnsi="Arial" w:cs="Arial"/>
          <w:sz w:val="28"/>
          <w:szCs w:val="28"/>
        </w:rPr>
        <w:t xml:space="preserve">specific </w:t>
      </w:r>
      <w:r w:rsidRPr="00C51AAE">
        <w:rPr>
          <w:rFonts w:ascii="Arial" w:hAnsi="Arial" w:cs="Arial"/>
          <w:sz w:val="28"/>
          <w:szCs w:val="28"/>
        </w:rPr>
        <w:t xml:space="preserve">nerves, muscle(s), the bone region the tendons are attached, and  the specific </w:t>
      </w:r>
      <w:r w:rsidR="00C51AAE" w:rsidRPr="00C51AAE">
        <w:rPr>
          <w:rFonts w:ascii="Arial" w:hAnsi="Arial" w:cs="Arial"/>
          <w:sz w:val="28"/>
          <w:szCs w:val="28"/>
        </w:rPr>
        <w:t xml:space="preserve">structural and </w:t>
      </w:r>
      <w:r w:rsidRPr="00C51AAE">
        <w:rPr>
          <w:rFonts w:ascii="Arial" w:hAnsi="Arial" w:cs="Arial"/>
          <w:sz w:val="28"/>
          <w:szCs w:val="28"/>
        </w:rPr>
        <w:t>functional type of joint movement employed</w:t>
      </w:r>
      <w:r w:rsidR="00E255F1" w:rsidRPr="00C51AAE">
        <w:rPr>
          <w:rFonts w:ascii="Arial" w:hAnsi="Arial" w:cs="Arial"/>
          <w:sz w:val="28"/>
          <w:szCs w:val="28"/>
        </w:rPr>
        <w:t xml:space="preserve"> when </w:t>
      </w:r>
      <w:r w:rsidR="00C51AAE" w:rsidRPr="00C51AAE">
        <w:rPr>
          <w:rFonts w:ascii="Arial" w:hAnsi="Arial" w:cs="Arial"/>
          <w:sz w:val="28"/>
          <w:szCs w:val="28"/>
        </w:rPr>
        <w:t xml:space="preserve">“curling” a barbell. </w:t>
      </w:r>
      <w:r w:rsidRPr="00C51AAE">
        <w:rPr>
          <w:rFonts w:ascii="Arial" w:hAnsi="Arial" w:cs="Arial"/>
          <w:sz w:val="28"/>
          <w:szCs w:val="28"/>
        </w:rPr>
        <w:t xml:space="preserve"> In addition explain </w:t>
      </w:r>
      <w:r w:rsidR="00C51AAE" w:rsidRPr="00C51AAE">
        <w:rPr>
          <w:rFonts w:ascii="Arial" w:hAnsi="Arial" w:cs="Arial"/>
          <w:sz w:val="28"/>
          <w:szCs w:val="28"/>
        </w:rPr>
        <w:t xml:space="preserve">in detail, </w:t>
      </w:r>
      <w:r w:rsidRPr="00C51AAE">
        <w:rPr>
          <w:rFonts w:ascii="Arial" w:hAnsi="Arial" w:cs="Arial"/>
          <w:sz w:val="28"/>
          <w:szCs w:val="28"/>
        </w:rPr>
        <w:t xml:space="preserve">what is occurring at one neuromuscular junction, and the molecular mechanisms involving </w:t>
      </w:r>
      <w:r w:rsidR="00C51AAE" w:rsidRPr="00C51AAE">
        <w:rPr>
          <w:rFonts w:ascii="Arial" w:hAnsi="Arial" w:cs="Arial"/>
          <w:sz w:val="28"/>
          <w:szCs w:val="28"/>
        </w:rPr>
        <w:t xml:space="preserve">Calcium ion, Ach, </w:t>
      </w:r>
      <w:r w:rsidRPr="00C51AAE">
        <w:rPr>
          <w:rFonts w:ascii="Arial" w:hAnsi="Arial" w:cs="Arial"/>
          <w:sz w:val="28"/>
          <w:szCs w:val="28"/>
        </w:rPr>
        <w:t>the myofilaments and ATP</w:t>
      </w:r>
      <w:r w:rsidR="00C51AAE" w:rsidRPr="00C51AAE">
        <w:rPr>
          <w:rFonts w:ascii="Arial" w:hAnsi="Arial" w:cs="Arial"/>
          <w:sz w:val="28"/>
          <w:szCs w:val="28"/>
        </w:rPr>
        <w:t xml:space="preserve"> during contraction in one sarcomere.</w:t>
      </w:r>
    </w:p>
    <w:p w14:paraId="2AC2CF18" w14:textId="77777777" w:rsidR="00C51AAE" w:rsidRPr="00C51AAE" w:rsidRDefault="00C51AAE" w:rsidP="00C51AAE">
      <w:pPr>
        <w:pStyle w:val="ListParagraph"/>
        <w:rPr>
          <w:rFonts w:ascii="Arial" w:hAnsi="Arial" w:cs="Arial"/>
          <w:sz w:val="28"/>
          <w:szCs w:val="28"/>
        </w:rPr>
      </w:pPr>
    </w:p>
    <w:p w14:paraId="199A2BB5" w14:textId="77777777" w:rsidR="00C51AAE" w:rsidRPr="00C51AAE" w:rsidRDefault="00C51AAE" w:rsidP="00C51AAE">
      <w:pPr>
        <w:rPr>
          <w:rFonts w:ascii="Arial" w:hAnsi="Arial" w:cs="Arial"/>
          <w:sz w:val="28"/>
          <w:szCs w:val="28"/>
        </w:rPr>
      </w:pPr>
    </w:p>
    <w:p w14:paraId="522708FB" w14:textId="0ED8DB86" w:rsidR="003E6D17" w:rsidRPr="00C51AAE" w:rsidRDefault="003E6D17" w:rsidP="008940DD">
      <w:pPr>
        <w:pStyle w:val="ListParagraph"/>
        <w:numPr>
          <w:ilvl w:val="0"/>
          <w:numId w:val="1"/>
        </w:numPr>
        <w:rPr>
          <w:rFonts w:ascii="Arial" w:hAnsi="Arial" w:cs="Arial"/>
          <w:sz w:val="28"/>
          <w:szCs w:val="28"/>
        </w:rPr>
      </w:pPr>
      <w:r w:rsidRPr="00C51AAE">
        <w:rPr>
          <w:rFonts w:ascii="Arial" w:hAnsi="Arial" w:cs="Arial"/>
          <w:sz w:val="28"/>
          <w:szCs w:val="28"/>
        </w:rPr>
        <w:lastRenderedPageBreak/>
        <w:t>Give exact locations ( use proper anatomical terms such as posterior, anterior etc.) and functions for the below structures of the nervous system</w:t>
      </w:r>
    </w:p>
    <w:p w14:paraId="28D7EB8C" w14:textId="1E863365"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Basal Ganglia</w:t>
      </w:r>
    </w:p>
    <w:p w14:paraId="1D6E5C92" w14:textId="463AD3E2"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Red nucleus</w:t>
      </w:r>
    </w:p>
    <w:p w14:paraId="59DF6F20" w14:textId="39A933CF"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Superior and Inferior Colliculus</w:t>
      </w:r>
    </w:p>
    <w:p w14:paraId="2B356AAF" w14:textId="64E04FEB"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Primary motor cortex</w:t>
      </w:r>
    </w:p>
    <w:p w14:paraId="0C66C8EF" w14:textId="0ABFAEB0"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Hypothalamus</w:t>
      </w:r>
    </w:p>
    <w:p w14:paraId="769D5D31" w14:textId="0F9403A8"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Medulla Oblongata</w:t>
      </w:r>
    </w:p>
    <w:p w14:paraId="3C5CFC87" w14:textId="02E33EC0"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Lateral Geniculate body of the Thalamus</w:t>
      </w:r>
    </w:p>
    <w:p w14:paraId="62EAF4BC" w14:textId="1E3085B9"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Cerebral peduncles</w:t>
      </w:r>
    </w:p>
    <w:p w14:paraId="4686C21A" w14:textId="73DE7DED"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Sympathetic Trunk Ganglia</w:t>
      </w:r>
    </w:p>
    <w:p w14:paraId="3991E788" w14:textId="7E748594"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Cerebellum</w:t>
      </w:r>
    </w:p>
    <w:p w14:paraId="57357A06" w14:textId="7215014F" w:rsidR="003E6D17" w:rsidRPr="00C51AAE" w:rsidRDefault="003E6D17" w:rsidP="003E6D17">
      <w:pPr>
        <w:pStyle w:val="ListParagraph"/>
        <w:numPr>
          <w:ilvl w:val="0"/>
          <w:numId w:val="2"/>
        </w:numPr>
        <w:rPr>
          <w:rFonts w:ascii="Arial" w:hAnsi="Arial" w:cs="Arial"/>
          <w:sz w:val="28"/>
          <w:szCs w:val="28"/>
        </w:rPr>
      </w:pPr>
      <w:r w:rsidRPr="00C51AAE">
        <w:rPr>
          <w:rFonts w:ascii="Arial" w:hAnsi="Arial" w:cs="Arial"/>
          <w:sz w:val="28"/>
          <w:szCs w:val="28"/>
        </w:rPr>
        <w:t>Primary visual cortex</w:t>
      </w:r>
    </w:p>
    <w:p w14:paraId="2AE021EC" w14:textId="63A05EAD" w:rsidR="003E6D17" w:rsidRPr="00C51AAE" w:rsidRDefault="003A3B28" w:rsidP="003E6D17">
      <w:pPr>
        <w:pStyle w:val="ListParagraph"/>
        <w:numPr>
          <w:ilvl w:val="0"/>
          <w:numId w:val="2"/>
        </w:numPr>
        <w:rPr>
          <w:rFonts w:ascii="Arial" w:hAnsi="Arial" w:cs="Arial"/>
          <w:sz w:val="28"/>
          <w:szCs w:val="28"/>
        </w:rPr>
      </w:pPr>
      <w:r w:rsidRPr="00C51AAE">
        <w:rPr>
          <w:rFonts w:ascii="Arial" w:hAnsi="Arial" w:cs="Arial"/>
          <w:sz w:val="28"/>
          <w:szCs w:val="28"/>
        </w:rPr>
        <w:t>Corpus callosum</w:t>
      </w:r>
    </w:p>
    <w:p w14:paraId="1A5CF8C1" w14:textId="0E7E6FB0" w:rsidR="003A3B28" w:rsidRPr="00C51AAE" w:rsidRDefault="003A3B28" w:rsidP="003E6D17">
      <w:pPr>
        <w:pStyle w:val="ListParagraph"/>
        <w:numPr>
          <w:ilvl w:val="0"/>
          <w:numId w:val="2"/>
        </w:numPr>
        <w:rPr>
          <w:rFonts w:ascii="Arial" w:hAnsi="Arial" w:cs="Arial"/>
          <w:sz w:val="28"/>
          <w:szCs w:val="28"/>
        </w:rPr>
      </w:pPr>
      <w:r w:rsidRPr="00C51AAE">
        <w:rPr>
          <w:rFonts w:ascii="Arial" w:hAnsi="Arial" w:cs="Arial"/>
          <w:sz w:val="28"/>
          <w:szCs w:val="28"/>
        </w:rPr>
        <w:t>Hippocampus</w:t>
      </w:r>
    </w:p>
    <w:p w14:paraId="238F5B67" w14:textId="1EB444FB" w:rsidR="003A3B28" w:rsidRPr="00C51AAE" w:rsidRDefault="003A3B28" w:rsidP="003E6D17">
      <w:pPr>
        <w:pStyle w:val="ListParagraph"/>
        <w:numPr>
          <w:ilvl w:val="0"/>
          <w:numId w:val="2"/>
        </w:numPr>
        <w:rPr>
          <w:rFonts w:ascii="Arial" w:hAnsi="Arial" w:cs="Arial"/>
          <w:sz w:val="28"/>
          <w:szCs w:val="28"/>
        </w:rPr>
      </w:pPr>
      <w:r w:rsidRPr="00C51AAE">
        <w:rPr>
          <w:rFonts w:ascii="Arial" w:hAnsi="Arial" w:cs="Arial"/>
          <w:sz w:val="28"/>
          <w:szCs w:val="28"/>
        </w:rPr>
        <w:t>Broca’s speech area</w:t>
      </w:r>
    </w:p>
    <w:p w14:paraId="04C70FE7" w14:textId="68A20C9F" w:rsidR="003A3B28" w:rsidRPr="00C51AAE" w:rsidRDefault="003A3B28" w:rsidP="003E6D17">
      <w:pPr>
        <w:pStyle w:val="ListParagraph"/>
        <w:numPr>
          <w:ilvl w:val="0"/>
          <w:numId w:val="2"/>
        </w:numPr>
        <w:rPr>
          <w:rFonts w:ascii="Arial" w:hAnsi="Arial" w:cs="Arial"/>
          <w:sz w:val="28"/>
          <w:szCs w:val="28"/>
        </w:rPr>
      </w:pPr>
      <w:r w:rsidRPr="00C51AAE">
        <w:rPr>
          <w:rFonts w:ascii="Arial" w:hAnsi="Arial" w:cs="Arial"/>
          <w:sz w:val="28"/>
          <w:szCs w:val="28"/>
        </w:rPr>
        <w:t>Primary auditory area</w:t>
      </w:r>
    </w:p>
    <w:p w14:paraId="2BCB234D" w14:textId="08438D44" w:rsidR="00C51AAE" w:rsidRPr="00C51AAE" w:rsidRDefault="00C51AAE" w:rsidP="00C51AAE">
      <w:pPr>
        <w:rPr>
          <w:rFonts w:ascii="Arial" w:hAnsi="Arial" w:cs="Arial"/>
          <w:sz w:val="28"/>
          <w:szCs w:val="28"/>
        </w:rPr>
      </w:pPr>
    </w:p>
    <w:p w14:paraId="228F2DAA" w14:textId="20B93930" w:rsidR="00C51AAE" w:rsidRPr="00C51AAE" w:rsidRDefault="00C51AAE" w:rsidP="00C51AAE">
      <w:pPr>
        <w:pStyle w:val="ListParagraph"/>
        <w:numPr>
          <w:ilvl w:val="0"/>
          <w:numId w:val="1"/>
        </w:numPr>
        <w:rPr>
          <w:rFonts w:ascii="Arial" w:hAnsi="Arial" w:cs="Arial"/>
          <w:sz w:val="28"/>
          <w:szCs w:val="28"/>
        </w:rPr>
      </w:pPr>
      <w:r w:rsidRPr="00C51AAE">
        <w:rPr>
          <w:rFonts w:ascii="Arial" w:hAnsi="Arial" w:cs="Arial"/>
          <w:sz w:val="28"/>
          <w:szCs w:val="28"/>
        </w:rPr>
        <w:t>These are some of the protective mechanisms used to protect brain neurons: The bony skull, the astrocytes and other CNS neuroglia, cerebrospinal fluid (CSF), the Blood Brain Barrier, and lastly the re-routing of blood from other organs to the Brain-Heart-Lung axis to maintain Brain blood flow. Explain in detail why each of these mechanisms are necessary to maintain brain neural functioning and what their failure could lead to.</w:t>
      </w:r>
    </w:p>
    <w:sectPr w:rsidR="00C51AAE" w:rsidRPr="00C51A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1D2CFC"/>
    <w:multiLevelType w:val="hybridMultilevel"/>
    <w:tmpl w:val="8188E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B71847"/>
    <w:multiLevelType w:val="hybridMultilevel"/>
    <w:tmpl w:val="8990055A"/>
    <w:lvl w:ilvl="0" w:tplc="BA92F6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0DD"/>
    <w:rsid w:val="00055D44"/>
    <w:rsid w:val="003A3B28"/>
    <w:rsid w:val="003B32E6"/>
    <w:rsid w:val="003E6D17"/>
    <w:rsid w:val="00576F9C"/>
    <w:rsid w:val="008940DD"/>
    <w:rsid w:val="00C51AAE"/>
    <w:rsid w:val="00DF0B22"/>
    <w:rsid w:val="00E25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CDE85"/>
  <w15:chartTrackingRefBased/>
  <w15:docId w15:val="{0ABAB8B7-2C56-49E2-9DA0-47E9A4918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0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de Soignie</dc:creator>
  <cp:keywords/>
  <dc:description/>
  <cp:lastModifiedBy>Anna de Soignie</cp:lastModifiedBy>
  <cp:revision>2</cp:revision>
  <dcterms:created xsi:type="dcterms:W3CDTF">2020-12-01T14:32:00Z</dcterms:created>
  <dcterms:modified xsi:type="dcterms:W3CDTF">2020-12-01T14:32:00Z</dcterms:modified>
</cp:coreProperties>
</file>